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F1DF" w14:textId="79FC9347" w:rsidR="00F77F65" w:rsidRDefault="00F77F65" w:rsidP="00F77F65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2"/>
          <w:szCs w:val="32"/>
          <w:lang w:eastAsia="it-IT"/>
        </w:rPr>
      </w:pPr>
      <w:r w:rsidRPr="00F77F65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it-IT"/>
        </w:rPr>
        <w:t>Winston Churchill</w:t>
      </w:r>
    </w:p>
    <w:p w14:paraId="1E8C4E5A" w14:textId="77777777" w:rsid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  <w:b/>
          <w:bCs/>
        </w:rPr>
      </w:pPr>
    </w:p>
    <w:p w14:paraId="1AFD3195" w14:textId="77777777" w:rsid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  <w:b/>
          <w:bCs/>
        </w:rPr>
      </w:pPr>
    </w:p>
    <w:p w14:paraId="6D7C2C3B" w14:textId="07A689B2" w:rsidR="00F77F65" w:rsidRP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F77F65">
        <w:rPr>
          <w:rFonts w:ascii="Arial" w:hAnsi="Arial"/>
          <w:b/>
          <w:bCs/>
        </w:rPr>
        <w:t>Sir Winston Leonard Spencer Churchill </w:t>
      </w:r>
      <w:hyperlink r:id="rId4" w:anchor="cite_note-2" w:history="1">
        <w:r w:rsidRPr="00F77F65">
          <w:rPr>
            <w:rStyle w:val="Collegamentoipertestuale"/>
            <w:rFonts w:ascii="Arial" w:hAnsi="Arial"/>
            <w:color w:val="auto"/>
            <w:u w:val="none"/>
            <w:vertAlign w:val="superscript"/>
          </w:rPr>
          <w:t>[a]</w:t>
        </w:r>
      </w:hyperlink>
      <w:r w:rsidRPr="00F77F65">
        <w:rPr>
          <w:rFonts w:ascii="Arial" w:hAnsi="Arial"/>
        </w:rPr>
        <w:t> (30 novembre 1874 – 24 gennaio 1965) è stato uno statista, soldato e scrittore britannico che ha servito due volte come </w:t>
      </w:r>
      <w:hyperlink r:id="rId5" w:tooltip="Primo Ministro d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primo ministro del Regno Unito</w:t>
        </w:r>
      </w:hyperlink>
      <w:r w:rsidRPr="00F77F65">
        <w:rPr>
          <w:rFonts w:ascii="Arial" w:hAnsi="Arial"/>
        </w:rPr>
        <w:t> , dal 1940 al 1945 </w:t>
      </w:r>
      <w:hyperlink r:id="rId6" w:tooltip="Winston Churchill nella seconda guerra mondial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durante la seconda guerra mondiale</w:t>
        </w:r>
      </w:hyperlink>
      <w:r w:rsidRPr="00F77F65">
        <w:rPr>
          <w:rFonts w:ascii="Arial" w:hAnsi="Arial"/>
        </w:rPr>
        <w:t>, e di nuovo da Dal 1951 al 1955. A parte due anni tra il 1922 e il 1924, è stato </w:t>
      </w:r>
      <w:hyperlink r:id="rId7" w:tooltip="Membro del Parlamento (Regno Unito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membro del Parlamento</w:t>
        </w:r>
      </w:hyperlink>
      <w:r w:rsidRPr="00F77F65">
        <w:rPr>
          <w:rFonts w:ascii="Arial" w:hAnsi="Arial"/>
        </w:rPr>
        <w:t> (MP) dal 1900 al 1964 e ha rappresentato un totale di cinque </w:t>
      </w:r>
      <w:hyperlink r:id="rId8" w:tooltip="Circoscrizione del Parlamento d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collegi elettorali</w:t>
        </w:r>
      </w:hyperlink>
      <w:r w:rsidRPr="00F77F65">
        <w:rPr>
          <w:rFonts w:ascii="Arial" w:hAnsi="Arial"/>
        </w:rPr>
        <w:t> . Ideologicamente un </w:t>
      </w:r>
      <w:hyperlink r:id="rId9" w:tooltip="Liberalismo economic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liberale economico</w:t>
        </w:r>
      </w:hyperlink>
      <w:r w:rsidRPr="00F77F65">
        <w:rPr>
          <w:rFonts w:ascii="Arial" w:hAnsi="Arial"/>
        </w:rPr>
        <w:t> e </w:t>
      </w:r>
      <w:hyperlink r:id="rId10" w:tooltip="impero britannic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imperialista</w:t>
        </w:r>
      </w:hyperlink>
      <w:r w:rsidRPr="00F77F65">
        <w:rPr>
          <w:rFonts w:ascii="Arial" w:hAnsi="Arial"/>
        </w:rPr>
        <w:t> , fu per la maggior parte della sua carriera membro del </w:t>
      </w:r>
      <w:hyperlink r:id="rId11" w:tooltip="Partito conservatore (Regno Unito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Partito conservatore</w:t>
        </w:r>
      </w:hyperlink>
      <w:r w:rsidRPr="00F77F65">
        <w:rPr>
          <w:rFonts w:ascii="Arial" w:hAnsi="Arial"/>
        </w:rPr>
        <w:t> , che guidò dal 1940 al 1955. Fu membro del </w:t>
      </w:r>
      <w:hyperlink r:id="rId12" w:tooltip="Partito Liberale (Regno Unito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Partito Liberale</w:t>
        </w:r>
      </w:hyperlink>
      <w:r w:rsidRPr="00F77F65">
        <w:rPr>
          <w:rFonts w:ascii="Arial" w:hAnsi="Arial"/>
        </w:rPr>
        <w:t> dal 1904 al 1924.</w:t>
      </w:r>
    </w:p>
    <w:p w14:paraId="4FB9BEBB" w14:textId="6645B0CD" w:rsidR="00F77F65" w:rsidRP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F77F65">
        <w:rPr>
          <w:rFonts w:ascii="Arial" w:hAnsi="Arial"/>
        </w:rPr>
        <w:t>Di origini miste inglesi e americane, Churchill nacque </w:t>
      </w:r>
      <w:hyperlink r:id="rId13" w:tooltip="Oxfordshir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nell'Oxfordshire</w:t>
        </w:r>
      </w:hyperlink>
      <w:r w:rsidRPr="00F77F65">
        <w:rPr>
          <w:rFonts w:ascii="Arial" w:hAnsi="Arial"/>
        </w:rPr>
        <w:t> da </w:t>
      </w:r>
      <w:hyperlink r:id="rId14" w:tooltip="Famiglia Spencer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una ricca famiglia aristocratica</w:t>
        </w:r>
      </w:hyperlink>
      <w:r w:rsidRPr="00F77F65">
        <w:rPr>
          <w:rFonts w:ascii="Arial" w:hAnsi="Arial"/>
        </w:rPr>
        <w:t> . Si arruolò </w:t>
      </w:r>
      <w:hyperlink r:id="rId15" w:tooltip="Esercito britannic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nell'esercito britannico</w:t>
        </w:r>
      </w:hyperlink>
      <w:r w:rsidRPr="00F77F65">
        <w:rPr>
          <w:rFonts w:ascii="Arial" w:hAnsi="Arial"/>
        </w:rPr>
        <w:t> nel 1895 e vide l'azione </w:t>
      </w:r>
      <w:hyperlink r:id="rId16" w:tooltip="Raj britannic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nell'India britannica</w:t>
        </w:r>
      </w:hyperlink>
      <w:r w:rsidRPr="00F77F65">
        <w:rPr>
          <w:rFonts w:ascii="Arial" w:hAnsi="Arial"/>
        </w:rPr>
        <w:t> , la </w:t>
      </w:r>
      <w:hyperlink r:id="rId17" w:tooltip="Guerra mahdist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guerra anglo-</w:t>
        </w:r>
        <w:proofErr w:type="spellStart"/>
        <w:r w:rsidRPr="00F77F65">
          <w:rPr>
            <w:rStyle w:val="Collegamentoipertestuale"/>
            <w:rFonts w:ascii="Arial" w:hAnsi="Arial"/>
            <w:color w:val="auto"/>
            <w:u w:val="none"/>
          </w:rPr>
          <w:t>sudan</w:t>
        </w:r>
        <w:proofErr w:type="spellEnd"/>
      </w:hyperlink>
      <w:r w:rsidRPr="00F77F65">
        <w:rPr>
          <w:rFonts w:ascii="Arial" w:hAnsi="Arial"/>
        </w:rPr>
        <w:t> e la </w:t>
      </w:r>
      <w:hyperlink r:id="rId18" w:tooltip="Seconda guerra boer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seconda guerra boera</w:t>
        </w:r>
      </w:hyperlink>
      <w:r w:rsidRPr="00F77F65">
        <w:rPr>
          <w:rFonts w:ascii="Arial" w:hAnsi="Arial"/>
        </w:rPr>
        <w:t> , guadagnandosi fama come </w:t>
      </w:r>
      <w:hyperlink r:id="rId19" w:tooltip="Corrispondente di guerr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corrispondente di guerra</w:t>
        </w:r>
      </w:hyperlink>
      <w:r w:rsidRPr="00F77F65">
        <w:rPr>
          <w:rFonts w:ascii="Arial" w:hAnsi="Arial"/>
        </w:rPr>
        <w:t> e scrivendo libri sulle sue campagne. Eletto deputato conservatore nel 1900, passò ai liberali nel 1904. Nel </w:t>
      </w:r>
      <w:hyperlink r:id="rId20" w:tooltip="Liberal government, 1905–1915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governo liberale</w:t>
        </w:r>
      </w:hyperlink>
      <w:r w:rsidRPr="00F77F65">
        <w:rPr>
          <w:rFonts w:ascii="Arial" w:hAnsi="Arial"/>
        </w:rPr>
        <w:t> di </w:t>
      </w:r>
      <w:hyperlink r:id="rId21" w:tooltip="HH Asquith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HH Asquith</w:t>
        </w:r>
      </w:hyperlink>
      <w:r w:rsidRPr="00F77F65">
        <w:rPr>
          <w:rFonts w:ascii="Arial" w:hAnsi="Arial"/>
        </w:rPr>
        <w:t> , Churchill servì come </w:t>
      </w:r>
      <w:hyperlink r:id="rId22" w:tooltip="President of the Board of Trad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presidente del Board of Trade</w:t>
        </w:r>
      </w:hyperlink>
      <w:r w:rsidRPr="00F77F65">
        <w:rPr>
          <w:rFonts w:ascii="Arial" w:hAnsi="Arial"/>
        </w:rPr>
        <w:t> e </w:t>
      </w:r>
      <w:hyperlink r:id="rId23" w:tooltip="Home Secretary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ministro degli Interni</w:t>
        </w:r>
      </w:hyperlink>
      <w:r w:rsidRPr="00F77F65">
        <w:rPr>
          <w:rFonts w:ascii="Arial" w:hAnsi="Arial"/>
        </w:rPr>
        <w:t> , sostenendo la riforma carceraria e la sicurezza sociale dei lavoratori. Come</w:t>
      </w:r>
      <w:r>
        <w:rPr>
          <w:rFonts w:ascii="Arial" w:hAnsi="Arial"/>
        </w:rPr>
        <w:t xml:space="preserve"> </w:t>
      </w:r>
      <w:hyperlink r:id="rId24" w:tooltip="Primo Lord dell'Ammiraglia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Primo Lord dell'Ammiragliato</w:t>
        </w:r>
      </w:hyperlink>
      <w:r w:rsidRPr="00F77F65">
        <w:rPr>
          <w:rFonts w:ascii="Arial" w:hAnsi="Arial"/>
        </w:rPr>
        <w:t> durante la </w:t>
      </w:r>
      <w:hyperlink r:id="rId25" w:tooltip="Prima guerra mondial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Prima Guerra Mondiale</w:t>
        </w:r>
      </w:hyperlink>
      <w:r w:rsidRPr="00F77F65">
        <w:rPr>
          <w:rFonts w:ascii="Arial" w:hAnsi="Arial"/>
        </w:rPr>
        <w:t> , sovrintese alla </w:t>
      </w:r>
      <w:hyperlink r:id="rId26" w:tooltip="Campagna di Gallipoli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Campagna di Gallipoli</w:t>
        </w:r>
      </w:hyperlink>
      <w:r w:rsidRPr="00F77F65">
        <w:rPr>
          <w:rFonts w:ascii="Arial" w:hAnsi="Arial"/>
        </w:rPr>
        <w:t> ma, dopo che si rivelò un disastro, fu retrocesso a </w:t>
      </w:r>
      <w:hyperlink r:id="rId27" w:tooltip="Cancelliere del Ducato di Lancaster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Cancelliere del Ducato di Lancaster</w:t>
        </w:r>
      </w:hyperlink>
      <w:r w:rsidRPr="00F77F65">
        <w:rPr>
          <w:rFonts w:ascii="Arial" w:hAnsi="Arial"/>
        </w:rPr>
        <w:t> . Si dimise nel novembre 1915 e si unì ai </w:t>
      </w:r>
      <w:hyperlink r:id="rId28" w:tooltip="Fucilieri scozzesi reali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 xml:space="preserve">Royal </w:t>
        </w:r>
        <w:proofErr w:type="spellStart"/>
        <w:r w:rsidRPr="00F77F65">
          <w:rPr>
            <w:rStyle w:val="Collegamentoipertestuale"/>
            <w:rFonts w:ascii="Arial" w:hAnsi="Arial"/>
            <w:color w:val="auto"/>
            <w:u w:val="none"/>
          </w:rPr>
          <w:t>Scots</w:t>
        </w:r>
        <w:proofErr w:type="spellEnd"/>
        <w:r w:rsidRPr="00F77F65">
          <w:rPr>
            <w:rStyle w:val="Collegamentoipertestuale"/>
            <w:rFonts w:ascii="Arial" w:hAnsi="Arial"/>
            <w:color w:val="auto"/>
            <w:u w:val="none"/>
          </w:rPr>
          <w:t xml:space="preserve"> </w:t>
        </w:r>
        <w:proofErr w:type="spellStart"/>
        <w:r w:rsidRPr="00F77F65">
          <w:rPr>
            <w:rStyle w:val="Collegamentoipertestuale"/>
            <w:rFonts w:ascii="Arial" w:hAnsi="Arial"/>
            <w:color w:val="auto"/>
            <w:u w:val="none"/>
          </w:rPr>
          <w:t>Fusiliers</w:t>
        </w:r>
        <w:proofErr w:type="spellEnd"/>
      </w:hyperlink>
      <w:r w:rsidRPr="00F77F65">
        <w:rPr>
          <w:rFonts w:ascii="Arial" w:hAnsi="Arial"/>
        </w:rPr>
        <w:t> sul </w:t>
      </w:r>
      <w:hyperlink r:id="rId29" w:tooltip="Fronte occidentale (prima guerra mondiale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fronte occidentale</w:t>
        </w:r>
      </w:hyperlink>
      <w:r w:rsidRPr="00F77F65">
        <w:rPr>
          <w:rFonts w:ascii="Arial" w:hAnsi="Arial"/>
        </w:rPr>
        <w:t> per sei mesi. Nel 1917, tornò al governo sotto </w:t>
      </w:r>
      <w:hyperlink r:id="rId30" w:tooltip="David Lloyd Georg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David Lloyd George</w:t>
        </w:r>
      </w:hyperlink>
      <w:r w:rsidRPr="00F77F65">
        <w:rPr>
          <w:rFonts w:ascii="Arial" w:hAnsi="Arial"/>
        </w:rPr>
        <w:t> e servì successivamente come </w:t>
      </w:r>
      <w:hyperlink r:id="rId31" w:tooltip="Ministro delle munizioni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Ministro delle munizioni</w:t>
        </w:r>
      </w:hyperlink>
      <w:r w:rsidRPr="00F77F65">
        <w:rPr>
          <w:rFonts w:ascii="Arial" w:hAnsi="Arial"/>
        </w:rPr>
        <w:t> , </w:t>
      </w:r>
      <w:hyperlink r:id="rId32" w:tooltip="Segretario di Stato per la Guerr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Segretario di Stato per la Guerra</w:t>
        </w:r>
      </w:hyperlink>
      <w:r w:rsidRPr="00F77F65">
        <w:rPr>
          <w:rFonts w:ascii="Arial" w:hAnsi="Arial"/>
        </w:rPr>
        <w:t> , </w:t>
      </w:r>
      <w:hyperlink r:id="rId33" w:tooltip="Segretario di Stato per l'ari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Segretario di Stato per l'Aria</w:t>
        </w:r>
      </w:hyperlink>
      <w:r w:rsidRPr="00F77F65">
        <w:rPr>
          <w:rFonts w:ascii="Arial" w:hAnsi="Arial"/>
        </w:rPr>
        <w:t> e </w:t>
      </w:r>
      <w:hyperlink r:id="rId34" w:tooltip="Segretario di Stato per le Coloni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Segretario di Stato per le Colonie</w:t>
        </w:r>
      </w:hyperlink>
      <w:r w:rsidRPr="00F77F65">
        <w:rPr>
          <w:rFonts w:ascii="Arial" w:hAnsi="Arial"/>
        </w:rPr>
        <w:t> , sovrintendendo al </w:t>
      </w:r>
      <w:hyperlink r:id="rId35" w:tooltip="trattato anglo-irlandes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Trattato Anglo-Irlandese</w:t>
        </w:r>
      </w:hyperlink>
      <w:r w:rsidRPr="00F77F65">
        <w:rPr>
          <w:rFonts w:ascii="Arial" w:hAnsi="Arial"/>
        </w:rPr>
        <w:t> e</w:t>
      </w:r>
      <w:r>
        <w:rPr>
          <w:rFonts w:ascii="Arial" w:hAnsi="Arial"/>
        </w:rPr>
        <w:t xml:space="preserve"> </w:t>
      </w:r>
      <w:hyperlink r:id="rId36" w:tooltip="La politica estera britannica in Medio Orient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Politica estera britannica in Medio Oriente</w:t>
        </w:r>
      </w:hyperlink>
      <w:r w:rsidRPr="00F77F65">
        <w:rPr>
          <w:rFonts w:ascii="Arial" w:hAnsi="Arial"/>
        </w:rPr>
        <w:t> . Dopo due anni fuori dal Parlamento, ha servito come </w:t>
      </w:r>
      <w:hyperlink r:id="rId37" w:tooltip="cancelliere del Tesor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Cancelliere dello Scacchiere</w:t>
        </w:r>
      </w:hyperlink>
      <w:r w:rsidRPr="00F77F65">
        <w:rPr>
          <w:rFonts w:ascii="Arial" w:hAnsi="Arial"/>
        </w:rPr>
        <w:t> nel </w:t>
      </w:r>
      <w:hyperlink r:id="rId38" w:tooltip="Second Baldwin ministry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governo conservatore</w:t>
        </w:r>
      </w:hyperlink>
      <w:r w:rsidRPr="00F77F65">
        <w:rPr>
          <w:rFonts w:ascii="Arial" w:hAnsi="Arial"/>
        </w:rPr>
        <w:t> di </w:t>
      </w:r>
      <w:hyperlink r:id="rId39" w:tooltip="Stanley Baldovin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Stanley Baldwin</w:t>
        </w:r>
      </w:hyperlink>
      <w:r w:rsidRPr="00F77F65">
        <w:rPr>
          <w:rFonts w:ascii="Arial" w:hAnsi="Arial"/>
        </w:rPr>
        <w:t> , riportando la sterlina inglese nel 1925 al </w:t>
      </w:r>
      <w:proofErr w:type="spellStart"/>
      <w:r w:rsidRPr="00F77F65">
        <w:rPr>
          <w:rFonts w:ascii="Arial" w:hAnsi="Arial"/>
        </w:rPr>
        <w:fldChar w:fldCharType="begin"/>
      </w:r>
      <w:r w:rsidRPr="00F77F65">
        <w:rPr>
          <w:rFonts w:ascii="Arial" w:hAnsi="Arial"/>
        </w:rPr>
        <w:instrText xml:space="preserve"> HYPERLINK "https://en.wikipedia.org/wiki/Gold_standard" \o "Gold standard" </w:instrText>
      </w:r>
      <w:r w:rsidRPr="00F77F65">
        <w:rPr>
          <w:rFonts w:ascii="Arial" w:hAnsi="Arial"/>
        </w:rPr>
      </w:r>
      <w:r w:rsidRPr="00F77F65">
        <w:rPr>
          <w:rFonts w:ascii="Arial" w:hAnsi="Arial"/>
        </w:rPr>
        <w:fldChar w:fldCharType="separate"/>
      </w:r>
      <w:r w:rsidRPr="00F77F65">
        <w:rPr>
          <w:rStyle w:val="Collegamentoipertestuale"/>
          <w:rFonts w:ascii="Arial" w:hAnsi="Arial"/>
          <w:color w:val="auto"/>
          <w:u w:val="none"/>
        </w:rPr>
        <w:t>gold</w:t>
      </w:r>
      <w:proofErr w:type="spellEnd"/>
      <w:r w:rsidRPr="00F77F65">
        <w:rPr>
          <w:rStyle w:val="Collegamentoipertestuale"/>
          <w:rFonts w:ascii="Arial" w:hAnsi="Arial"/>
          <w:color w:val="auto"/>
          <w:u w:val="none"/>
        </w:rPr>
        <w:t xml:space="preserve"> standard</w:t>
      </w:r>
      <w:r w:rsidRPr="00F77F65">
        <w:rPr>
          <w:rFonts w:ascii="Arial" w:hAnsi="Arial"/>
        </w:rPr>
        <w:fldChar w:fldCharType="end"/>
      </w:r>
      <w:r w:rsidRPr="00F77F65">
        <w:rPr>
          <w:rFonts w:ascii="Arial" w:hAnsi="Arial"/>
        </w:rPr>
        <w:t> alla sua parità prebellica, una mossa ampiamente vista come la creazione di pressioni deflazionistiche e la depressione del Economia del Regno Unito.</w:t>
      </w:r>
    </w:p>
    <w:p w14:paraId="23D6E9F8" w14:textId="436386C4" w:rsidR="00F77F65" w:rsidRP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F77F65">
        <w:rPr>
          <w:rFonts w:ascii="Arial" w:hAnsi="Arial"/>
        </w:rPr>
        <w:t>Fuori dal governo durante i suoi cosiddetti " </w:t>
      </w:r>
      <w:hyperlink r:id="rId40" w:tooltip="Gli anni del &quot;deserto&quot; di Winston Churchill, 1929-1939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anni del deserto</w:t>
        </w:r>
      </w:hyperlink>
      <w:r w:rsidRPr="00F77F65">
        <w:rPr>
          <w:rFonts w:ascii="Arial" w:hAnsi="Arial"/>
        </w:rPr>
        <w:t> " negli anni '30, Churchill prese l'iniziativa chiedendo il riarmo britannico per contrastare la crescente minaccia del </w:t>
      </w:r>
      <w:hyperlink r:id="rId41" w:tooltip="Militarism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militarismo</w:t>
        </w:r>
      </w:hyperlink>
      <w:r w:rsidRPr="00F77F65">
        <w:rPr>
          <w:rFonts w:ascii="Arial" w:hAnsi="Arial"/>
        </w:rPr>
        <w:t> nella </w:t>
      </w:r>
      <w:hyperlink r:id="rId42" w:tooltip="Germania nazist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Germania nazista</w:t>
        </w:r>
      </w:hyperlink>
      <w:r w:rsidRPr="00F77F65">
        <w:rPr>
          <w:rFonts w:ascii="Arial" w:hAnsi="Arial"/>
        </w:rPr>
        <w:t> . Allo scoppio della seconda guerra mondiale fu riconfermato Primo Lord dell'Ammiragliato. Nel maggio 1940 divenne Primo Ministro, succedendo a </w:t>
      </w:r>
      <w:hyperlink r:id="rId43" w:tooltip="Neville Chamberlain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Neville Chamberlain</w:t>
        </w:r>
      </w:hyperlink>
      <w:r w:rsidRPr="00F77F65">
        <w:rPr>
          <w:rFonts w:ascii="Arial" w:hAnsi="Arial"/>
        </w:rPr>
        <w:t> . Churchill formò un </w:t>
      </w:r>
      <w:hyperlink r:id="rId44" w:tooltip="Primo ministero di Churchill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governo nazionale</w:t>
        </w:r>
      </w:hyperlink>
      <w:r w:rsidRPr="00F77F65">
        <w:rPr>
          <w:rFonts w:ascii="Arial" w:hAnsi="Arial"/>
        </w:rPr>
        <w:t> e supervisionò il coinvolgimento britannico nello sforzo bellico </w:t>
      </w:r>
      <w:hyperlink r:id="rId45" w:tooltip="Alleati della seconda guerra mondial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alleato contro </w:t>
        </w:r>
      </w:hyperlink>
      <w:hyperlink r:id="rId46" w:tooltip="Potenze dell'ass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le potenze dell'Asse</w:t>
        </w:r>
      </w:hyperlink>
      <w:r w:rsidRPr="00F77F65">
        <w:rPr>
          <w:rFonts w:ascii="Arial" w:hAnsi="Arial"/>
        </w:rPr>
        <w:t> , che portò alla </w:t>
      </w:r>
      <w:hyperlink r:id="rId47" w:tooltip="Fine della seconda guerra mondiale in Europ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vittoria nel 1945</w:t>
        </w:r>
      </w:hyperlink>
      <w:r w:rsidRPr="00F77F65">
        <w:rPr>
          <w:rFonts w:ascii="Arial" w:hAnsi="Arial"/>
        </w:rPr>
        <w:t> . Dopo la sconfitta dei conservatori nelle </w:t>
      </w:r>
      <w:hyperlink r:id="rId48" w:tooltip="1945 Elezioni generali n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elezioni generali del 1945</w:t>
        </w:r>
      </w:hyperlink>
      <w:r w:rsidRPr="00F77F65">
        <w:rPr>
          <w:rFonts w:ascii="Arial" w:hAnsi="Arial"/>
        </w:rPr>
        <w:t> , divenne </w:t>
      </w:r>
      <w:hyperlink r:id="rId49" w:tooltip="Leader dell'opposizione (Regno Unito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leader dell'opposizione</w:t>
        </w:r>
      </w:hyperlink>
      <w:r w:rsidRPr="00F77F65">
        <w:rPr>
          <w:rFonts w:ascii="Arial" w:hAnsi="Arial"/>
        </w:rPr>
        <w:t>. Durante lo sviluppo </w:t>
      </w:r>
      <w:hyperlink r:id="rId50" w:tooltip="Guerra fredd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della Guerra Fredda</w:t>
        </w:r>
      </w:hyperlink>
      <w:r w:rsidRPr="00F77F65">
        <w:rPr>
          <w:rFonts w:ascii="Arial" w:hAnsi="Arial"/>
        </w:rPr>
        <w:t> con l' </w:t>
      </w:r>
      <w:hyperlink r:id="rId51" w:tooltip="Unione Sovietic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Unione Sovietica</w:t>
        </w:r>
      </w:hyperlink>
      <w:r w:rsidRPr="00F77F65">
        <w:rPr>
          <w:rFonts w:ascii="Arial" w:hAnsi="Arial"/>
        </w:rPr>
        <w:t> , ha pubblicamente avvertito di una " </w:t>
      </w:r>
      <w:hyperlink r:id="rId52" w:tooltip="Cortina di ferr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cortina di ferro</w:t>
        </w:r>
      </w:hyperlink>
      <w:r w:rsidRPr="00F77F65">
        <w:rPr>
          <w:rFonts w:ascii="Arial" w:hAnsi="Arial"/>
        </w:rPr>
        <w:t> " dell'influenza sovietica in Europa e ha promosso l'unità europea. Tra i suoi mandati come Primo Ministro, è autore di </w:t>
      </w:r>
      <w:hyperlink r:id="rId53" w:tooltip="La seconda guerra mondiale (serie di libri)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diversi libri che raccontano</w:t>
        </w:r>
      </w:hyperlink>
      <w:r w:rsidRPr="00F77F65">
        <w:rPr>
          <w:rFonts w:ascii="Arial" w:hAnsi="Arial"/>
        </w:rPr>
        <w:t> la sua esperienza durante la guerra per la quale è stato insignito del </w:t>
      </w:r>
      <w:hyperlink r:id="rId54" w:tooltip="Premio Nobel per la letteratur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Premio Nobel per la letteratura</w:t>
        </w:r>
      </w:hyperlink>
      <w:r w:rsidRPr="00F77F65">
        <w:rPr>
          <w:rFonts w:ascii="Arial" w:hAnsi="Arial"/>
        </w:rPr>
        <w:t> nel 1953. Ha perso le </w:t>
      </w:r>
      <w:hyperlink r:id="rId55" w:tooltip="1950 Elezioni generali n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elezioni del 1950</w:t>
        </w:r>
      </w:hyperlink>
      <w:r w:rsidRPr="00F77F65">
        <w:rPr>
          <w:rFonts w:ascii="Arial" w:hAnsi="Arial"/>
        </w:rPr>
        <w:t> , ma è </w:t>
      </w:r>
      <w:hyperlink r:id="rId56" w:tooltip="1951 Elezioni generali n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tornato in carica nel 1951</w:t>
        </w:r>
      </w:hyperlink>
      <w:r w:rsidRPr="00F77F65">
        <w:rPr>
          <w:rFonts w:ascii="Arial" w:hAnsi="Arial"/>
        </w:rPr>
        <w:t> . Il suo </w:t>
      </w:r>
      <w:hyperlink r:id="rId57" w:tooltip="Terzo ministero di Churchill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secondo mandato</w:t>
        </w:r>
      </w:hyperlink>
      <w:r w:rsidRPr="00F77F65">
        <w:rPr>
          <w:rFonts w:ascii="Arial" w:hAnsi="Arial"/>
        </w:rPr>
        <w:t> si è occupato degli affari esteri, in particolare </w:t>
      </w:r>
      <w:hyperlink r:id="rId58" w:tooltip="Relazione special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delle relazioni anglo-americane</w:t>
        </w:r>
      </w:hyperlink>
      <w:r w:rsidRPr="00F77F65">
        <w:rPr>
          <w:rFonts w:ascii="Arial" w:hAnsi="Arial"/>
        </w:rPr>
        <w:t> e della conservazione di ciò che restava </w:t>
      </w:r>
      <w:hyperlink r:id="rId59" w:tooltip="impero britannic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dell'Impero britannico</w:t>
        </w:r>
      </w:hyperlink>
      <w:r w:rsidR="00EC59F9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Pr="00F77F65">
        <w:rPr>
          <w:rFonts w:ascii="Arial" w:hAnsi="Arial"/>
        </w:rPr>
        <w:t>con l'India che ora non ne fa più parte. A livello nazionale, il suo governo ha enfatizzato la costruzione di case e ha completato lo sviluppo di un'arma nucleare (iniziato dal suo predecessore). In condizioni di salute in declino, Churchill si dimise da Primo Ministro nel 1955, sebbene rimase deputato </w:t>
      </w:r>
      <w:hyperlink r:id="rId60" w:tooltip="1964 Elezioni generali nel Regno Unit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fino al 1964</w:t>
        </w:r>
      </w:hyperlink>
      <w:r w:rsidRPr="00F77F65">
        <w:rPr>
          <w:rFonts w:ascii="Arial" w:hAnsi="Arial"/>
        </w:rPr>
        <w:t> . Alla sua morte, avvenuta nel 1965, gli fu dato </w:t>
      </w:r>
      <w:hyperlink r:id="rId61" w:tooltip="Morte e funerali di stato di Winston Churchill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un funerale di stato</w:t>
        </w:r>
      </w:hyperlink>
      <w:r w:rsidRPr="00F77F65">
        <w:rPr>
          <w:rFonts w:ascii="Arial" w:hAnsi="Arial"/>
        </w:rPr>
        <w:t> .</w:t>
      </w:r>
    </w:p>
    <w:p w14:paraId="06DAA75D" w14:textId="77777777" w:rsidR="00F77F65" w:rsidRPr="00F77F65" w:rsidRDefault="00F77F65" w:rsidP="00F77F6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F77F65">
        <w:rPr>
          <w:rFonts w:ascii="Arial" w:hAnsi="Arial"/>
        </w:rPr>
        <w:t>Ampiamente considerata una delle figure più significative del XX secolo, Churchill rimane popolare </w:t>
      </w:r>
      <w:hyperlink r:id="rId62" w:tooltip="Anglosfera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nell'Anglosfera</w:t>
        </w:r>
      </w:hyperlink>
      <w:r w:rsidRPr="00F77F65">
        <w:rPr>
          <w:rFonts w:ascii="Arial" w:hAnsi="Arial"/>
        </w:rPr>
        <w:t> , dove è visto come un leader vittorioso in tempo di guerra che ha svolto un ruolo importante nella difesa della </w:t>
      </w:r>
      <w:hyperlink r:id="rId63" w:tooltip="Democrazia liberale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democrazia liberale</w:t>
        </w:r>
      </w:hyperlink>
      <w:r w:rsidRPr="00F77F65">
        <w:rPr>
          <w:rFonts w:ascii="Arial" w:hAnsi="Arial"/>
        </w:rPr>
        <w:t> europea contro la diffusione del </w:t>
      </w:r>
      <w:hyperlink r:id="rId64" w:tooltip="Fascism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fascismo</w:t>
        </w:r>
      </w:hyperlink>
      <w:r w:rsidRPr="00F77F65">
        <w:rPr>
          <w:rFonts w:ascii="Arial" w:hAnsi="Arial"/>
        </w:rPr>
        <w:t> . D'altra parte, è stato criticato per alcuni eventi bellici e anche per le sue opinioni </w:t>
      </w:r>
      <w:hyperlink r:id="rId65" w:tooltip="Imperialismo" w:history="1">
        <w:r w:rsidRPr="00F77F65">
          <w:rPr>
            <w:rStyle w:val="Collegamentoipertestuale"/>
            <w:rFonts w:ascii="Arial" w:hAnsi="Arial"/>
            <w:color w:val="auto"/>
            <w:u w:val="none"/>
          </w:rPr>
          <w:t>imperialiste</w:t>
        </w:r>
      </w:hyperlink>
      <w:r w:rsidRPr="00F77F65">
        <w:rPr>
          <w:rFonts w:ascii="Arial" w:hAnsi="Arial"/>
        </w:rPr>
        <w:t> .</w:t>
      </w:r>
    </w:p>
    <w:sectPr w:rsidR="00F77F65" w:rsidRPr="00F77F65" w:rsidSect="00F7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5"/>
    <w:rsid w:val="001B34B0"/>
    <w:rsid w:val="004A65BE"/>
    <w:rsid w:val="00EC59F9"/>
    <w:rsid w:val="00EF07F7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9C4"/>
  <w15:chartTrackingRefBased/>
  <w15:docId w15:val="{324AC3B7-E9FC-470E-B2A6-90FA860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7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7F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page-title-main">
    <w:name w:val="mw-page-title-main"/>
    <w:basedOn w:val="Carpredefinitoparagrafo"/>
    <w:rsid w:val="00F77F65"/>
  </w:style>
  <w:style w:type="paragraph" w:styleId="NormaleWeb">
    <w:name w:val="Normal (Web)"/>
    <w:basedOn w:val="Normale"/>
    <w:uiPriority w:val="99"/>
    <w:semiHidden/>
    <w:unhideWhenUsed/>
    <w:rsid w:val="00F7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7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Oxfordshire" TargetMode="External"/><Relationship Id="rId18" Type="http://schemas.openxmlformats.org/officeDocument/2006/relationships/hyperlink" Target="https://en.wikipedia.org/wiki/Second_Boer_War" TargetMode="External"/><Relationship Id="rId26" Type="http://schemas.openxmlformats.org/officeDocument/2006/relationships/hyperlink" Target="https://en.wikipedia.org/wiki/Gallipoli_campaign" TargetMode="External"/><Relationship Id="rId39" Type="http://schemas.openxmlformats.org/officeDocument/2006/relationships/hyperlink" Target="https://en.wikipedia.org/wiki/Stanley_Baldwin" TargetMode="External"/><Relationship Id="rId21" Type="http://schemas.openxmlformats.org/officeDocument/2006/relationships/hyperlink" Target="https://en.wikipedia.org/wiki/H._H._Asquith" TargetMode="External"/><Relationship Id="rId34" Type="http://schemas.openxmlformats.org/officeDocument/2006/relationships/hyperlink" Target="https://en.wikipedia.org/wiki/Secretary_of_State_for_the_Colonies" TargetMode="External"/><Relationship Id="rId42" Type="http://schemas.openxmlformats.org/officeDocument/2006/relationships/hyperlink" Target="https://en.wikipedia.org/wiki/Nazi_Germany" TargetMode="External"/><Relationship Id="rId47" Type="http://schemas.openxmlformats.org/officeDocument/2006/relationships/hyperlink" Target="https://en.wikipedia.org/wiki/End_of_World_War_II_in_Europe" TargetMode="External"/><Relationship Id="rId50" Type="http://schemas.openxmlformats.org/officeDocument/2006/relationships/hyperlink" Target="https://en.wikipedia.org/wiki/Cold_War" TargetMode="External"/><Relationship Id="rId55" Type="http://schemas.openxmlformats.org/officeDocument/2006/relationships/hyperlink" Target="https://en.wikipedia.org/wiki/1950_United_Kingdom_general_election" TargetMode="External"/><Relationship Id="rId63" Type="http://schemas.openxmlformats.org/officeDocument/2006/relationships/hyperlink" Target="https://en.wikipedia.org/wiki/Liberal_democracy" TargetMode="External"/><Relationship Id="rId7" Type="http://schemas.openxmlformats.org/officeDocument/2006/relationships/hyperlink" Target="https://en.wikipedia.org/wiki/Member_of_Parliament_(United_Kingdom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British_Raj" TargetMode="External"/><Relationship Id="rId29" Type="http://schemas.openxmlformats.org/officeDocument/2006/relationships/hyperlink" Target="https://en.wikipedia.org/wiki/Western_Front_(World_War_I)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Winston_Churchill_in_the_Second_World_War" TargetMode="External"/><Relationship Id="rId11" Type="http://schemas.openxmlformats.org/officeDocument/2006/relationships/hyperlink" Target="https://en.wikipedia.org/wiki/Conservative_Party_(UK)" TargetMode="External"/><Relationship Id="rId24" Type="http://schemas.openxmlformats.org/officeDocument/2006/relationships/hyperlink" Target="https://en.wikipedia.org/wiki/First_Lord_of_the_Admiralty" TargetMode="External"/><Relationship Id="rId32" Type="http://schemas.openxmlformats.org/officeDocument/2006/relationships/hyperlink" Target="https://en.wikipedia.org/wiki/Secretary_of_State_for_War" TargetMode="External"/><Relationship Id="rId37" Type="http://schemas.openxmlformats.org/officeDocument/2006/relationships/hyperlink" Target="https://en.wikipedia.org/wiki/Chancellor_of_the_Exchequer" TargetMode="External"/><Relationship Id="rId40" Type="http://schemas.openxmlformats.org/officeDocument/2006/relationships/hyperlink" Target="https://en.wikipedia.org/wiki/Winston_Churchill%27s_%22Wilderness%22_years,_1929%E2%80%931939" TargetMode="External"/><Relationship Id="rId45" Type="http://schemas.openxmlformats.org/officeDocument/2006/relationships/hyperlink" Target="https://en.wikipedia.org/wiki/Allies_of_World_War_II" TargetMode="External"/><Relationship Id="rId53" Type="http://schemas.openxmlformats.org/officeDocument/2006/relationships/hyperlink" Target="https://en.wikipedia.org/wiki/The_Second_World_War_(book_series)" TargetMode="External"/><Relationship Id="rId58" Type="http://schemas.openxmlformats.org/officeDocument/2006/relationships/hyperlink" Target="https://en.wikipedia.org/wiki/Special_Relationship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n.wikipedia.org/wiki/Prime_Minister_of_the_United_Kingdom" TargetMode="External"/><Relationship Id="rId15" Type="http://schemas.openxmlformats.org/officeDocument/2006/relationships/hyperlink" Target="https://en.wikipedia.org/wiki/British_Army" TargetMode="External"/><Relationship Id="rId23" Type="http://schemas.openxmlformats.org/officeDocument/2006/relationships/hyperlink" Target="https://en.wikipedia.org/wiki/Home_Secretary" TargetMode="External"/><Relationship Id="rId28" Type="http://schemas.openxmlformats.org/officeDocument/2006/relationships/hyperlink" Target="https://en.wikipedia.org/wiki/Royal_Scots_Fusiliers" TargetMode="External"/><Relationship Id="rId36" Type="http://schemas.openxmlformats.org/officeDocument/2006/relationships/hyperlink" Target="https://en.wikipedia.org/wiki/British_foreign_policy_in_the_Middle_East" TargetMode="External"/><Relationship Id="rId49" Type="http://schemas.openxmlformats.org/officeDocument/2006/relationships/hyperlink" Target="https://en.wikipedia.org/wiki/Leader_of_the_Opposition_(United_Kingdom)" TargetMode="External"/><Relationship Id="rId57" Type="http://schemas.openxmlformats.org/officeDocument/2006/relationships/hyperlink" Target="https://en.wikipedia.org/wiki/Third_Churchill_ministry" TargetMode="External"/><Relationship Id="rId61" Type="http://schemas.openxmlformats.org/officeDocument/2006/relationships/hyperlink" Target="https://en.wikipedia.org/wiki/Death_and_state_funeral_of_Winston_Churchill" TargetMode="External"/><Relationship Id="rId10" Type="http://schemas.openxmlformats.org/officeDocument/2006/relationships/hyperlink" Target="https://en.wikipedia.org/wiki/British_Empire" TargetMode="External"/><Relationship Id="rId19" Type="http://schemas.openxmlformats.org/officeDocument/2006/relationships/hyperlink" Target="https://en.wikipedia.org/wiki/War_correspondent" TargetMode="External"/><Relationship Id="rId31" Type="http://schemas.openxmlformats.org/officeDocument/2006/relationships/hyperlink" Target="https://en.wikipedia.org/wiki/Minister_of_Munitions" TargetMode="External"/><Relationship Id="rId44" Type="http://schemas.openxmlformats.org/officeDocument/2006/relationships/hyperlink" Target="https://en.wikipedia.org/wiki/First_Churchill_ministry" TargetMode="External"/><Relationship Id="rId52" Type="http://schemas.openxmlformats.org/officeDocument/2006/relationships/hyperlink" Target="https://en.wikipedia.org/wiki/Iron_Curtain" TargetMode="External"/><Relationship Id="rId60" Type="http://schemas.openxmlformats.org/officeDocument/2006/relationships/hyperlink" Target="https://en.wikipedia.org/wiki/1964_United_Kingdom_general_election" TargetMode="External"/><Relationship Id="rId65" Type="http://schemas.openxmlformats.org/officeDocument/2006/relationships/hyperlink" Target="https://en.wikipedia.org/wiki/Imperialism" TargetMode="External"/><Relationship Id="rId4" Type="http://schemas.openxmlformats.org/officeDocument/2006/relationships/hyperlink" Target="https://en.wikipedia.org/wiki/Winston_Churchill" TargetMode="External"/><Relationship Id="rId9" Type="http://schemas.openxmlformats.org/officeDocument/2006/relationships/hyperlink" Target="https://en.wikipedia.org/wiki/Economic_liberalism" TargetMode="External"/><Relationship Id="rId14" Type="http://schemas.openxmlformats.org/officeDocument/2006/relationships/hyperlink" Target="https://en.wikipedia.org/wiki/Spencer_family" TargetMode="External"/><Relationship Id="rId22" Type="http://schemas.openxmlformats.org/officeDocument/2006/relationships/hyperlink" Target="https://en.wikipedia.org/wiki/President_of_the_Board_of_Trade" TargetMode="External"/><Relationship Id="rId27" Type="http://schemas.openxmlformats.org/officeDocument/2006/relationships/hyperlink" Target="https://en.wikipedia.org/wiki/Chancellor_of_the_Duchy_of_Lancaster" TargetMode="External"/><Relationship Id="rId30" Type="http://schemas.openxmlformats.org/officeDocument/2006/relationships/hyperlink" Target="https://en.wikipedia.org/wiki/David_Lloyd_George" TargetMode="External"/><Relationship Id="rId35" Type="http://schemas.openxmlformats.org/officeDocument/2006/relationships/hyperlink" Target="https://en.wikipedia.org/wiki/Anglo-Irish_Treaty" TargetMode="External"/><Relationship Id="rId43" Type="http://schemas.openxmlformats.org/officeDocument/2006/relationships/hyperlink" Target="https://en.wikipedia.org/wiki/Neville_Chamberlain" TargetMode="External"/><Relationship Id="rId48" Type="http://schemas.openxmlformats.org/officeDocument/2006/relationships/hyperlink" Target="https://en.wikipedia.org/wiki/1945_United_Kingdom_general_election" TargetMode="External"/><Relationship Id="rId56" Type="http://schemas.openxmlformats.org/officeDocument/2006/relationships/hyperlink" Target="https://en.wikipedia.org/wiki/1951_United_Kingdom_general_election" TargetMode="External"/><Relationship Id="rId64" Type="http://schemas.openxmlformats.org/officeDocument/2006/relationships/hyperlink" Target="https://en.wikipedia.org/wiki/Fascism" TargetMode="External"/><Relationship Id="rId8" Type="http://schemas.openxmlformats.org/officeDocument/2006/relationships/hyperlink" Target="https://en.wikipedia.org/wiki/UK_Parliament_constituency" TargetMode="External"/><Relationship Id="rId51" Type="http://schemas.openxmlformats.org/officeDocument/2006/relationships/hyperlink" Target="https://en.wikipedia.org/wiki/Soviet_Un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Liberal_Party_(UK)" TargetMode="External"/><Relationship Id="rId17" Type="http://schemas.openxmlformats.org/officeDocument/2006/relationships/hyperlink" Target="https://en.wikipedia.org/wiki/Mahdist_War" TargetMode="External"/><Relationship Id="rId25" Type="http://schemas.openxmlformats.org/officeDocument/2006/relationships/hyperlink" Target="https://en.wikipedia.org/wiki/First_World_War" TargetMode="External"/><Relationship Id="rId33" Type="http://schemas.openxmlformats.org/officeDocument/2006/relationships/hyperlink" Target="https://en.wikipedia.org/wiki/Secretary_of_State_for_Air" TargetMode="External"/><Relationship Id="rId38" Type="http://schemas.openxmlformats.org/officeDocument/2006/relationships/hyperlink" Target="https://en.wikipedia.org/wiki/Second_Baldwin_ministry" TargetMode="External"/><Relationship Id="rId46" Type="http://schemas.openxmlformats.org/officeDocument/2006/relationships/hyperlink" Target="https://en.wikipedia.org/wiki/Axis_powers" TargetMode="External"/><Relationship Id="rId59" Type="http://schemas.openxmlformats.org/officeDocument/2006/relationships/hyperlink" Target="https://en.wikipedia.org/wiki/British_Empir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n.wikipedia.org/wiki/Liberal_government,_1905%E2%80%931915" TargetMode="External"/><Relationship Id="rId41" Type="http://schemas.openxmlformats.org/officeDocument/2006/relationships/hyperlink" Target="https://en.wikipedia.org/wiki/Militarism" TargetMode="External"/><Relationship Id="rId54" Type="http://schemas.openxmlformats.org/officeDocument/2006/relationships/hyperlink" Target="https://en.wikipedia.org/wiki/Nobel_Prize_in_Literature" TargetMode="External"/><Relationship Id="rId62" Type="http://schemas.openxmlformats.org/officeDocument/2006/relationships/hyperlink" Target="https://en.wikipedia.org/wiki/Anglosph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Alessanrdro Venturi</cp:lastModifiedBy>
  <cp:revision>2</cp:revision>
  <dcterms:created xsi:type="dcterms:W3CDTF">2025-05-08T16:32:00Z</dcterms:created>
  <dcterms:modified xsi:type="dcterms:W3CDTF">2025-05-08T16:32:00Z</dcterms:modified>
</cp:coreProperties>
</file>